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4" w:rsidRDefault="00EA1504" w:rsidP="00EA1504">
      <w:pPr>
        <w:tabs>
          <w:tab w:val="left" w:pos="3168"/>
        </w:tabs>
        <w:outlineLvl w:val="0"/>
        <w:rPr>
          <w:b/>
          <w:sz w:val="20"/>
          <w:szCs w:val="20"/>
        </w:rPr>
      </w:pPr>
      <w:r>
        <w:rPr>
          <w:b/>
        </w:rPr>
        <w:t xml:space="preserve">     </w:t>
      </w:r>
      <w:r>
        <w:rPr>
          <w:b/>
          <w:sz w:val="20"/>
          <w:szCs w:val="20"/>
        </w:rPr>
        <w:t>« Согласовано»                                                                                                              «Утверждено»</w:t>
      </w:r>
    </w:p>
    <w:p w:rsidR="00EA1504" w:rsidRDefault="00EA1504" w:rsidP="00EA1504">
      <w:pPr>
        <w:tabs>
          <w:tab w:val="left" w:pos="6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профкома                                                                                          Главный врач  ГБУЗ РБ               </w:t>
      </w:r>
    </w:p>
    <w:p w:rsidR="00EA1504" w:rsidRDefault="00EA1504" w:rsidP="00EA1504">
      <w:pPr>
        <w:tabs>
          <w:tab w:val="left" w:pos="6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ГБУЗ РБ </w:t>
      </w:r>
      <w:proofErr w:type="spellStart"/>
      <w:r>
        <w:rPr>
          <w:b/>
          <w:sz w:val="20"/>
          <w:szCs w:val="20"/>
        </w:rPr>
        <w:t>Мишкинская</w:t>
      </w:r>
      <w:proofErr w:type="spellEnd"/>
      <w:r>
        <w:rPr>
          <w:b/>
          <w:sz w:val="20"/>
          <w:szCs w:val="20"/>
        </w:rPr>
        <w:t xml:space="preserve"> ЦРБ</w:t>
      </w:r>
      <w:r>
        <w:rPr>
          <w:b/>
          <w:sz w:val="20"/>
          <w:szCs w:val="20"/>
        </w:rPr>
        <w:tab/>
        <w:t xml:space="preserve">        </w:t>
      </w:r>
      <w:proofErr w:type="spellStart"/>
      <w:r>
        <w:rPr>
          <w:b/>
          <w:sz w:val="20"/>
          <w:szCs w:val="20"/>
        </w:rPr>
        <w:t>Мишкинская</w:t>
      </w:r>
      <w:proofErr w:type="spellEnd"/>
      <w:r>
        <w:rPr>
          <w:b/>
          <w:sz w:val="20"/>
          <w:szCs w:val="20"/>
        </w:rPr>
        <w:t xml:space="preserve"> ЦРБ </w:t>
      </w:r>
    </w:p>
    <w:p w:rsidR="00EA1504" w:rsidRDefault="00EA1504" w:rsidP="00EA1504">
      <w:pPr>
        <w:tabs>
          <w:tab w:val="left" w:pos="6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</w:t>
      </w:r>
      <w:r w:rsidR="00556B0A">
        <w:rPr>
          <w:b/>
          <w:sz w:val="20"/>
          <w:szCs w:val="20"/>
        </w:rPr>
        <w:t>Гафуров А.Р.</w:t>
      </w:r>
      <w:r>
        <w:rPr>
          <w:b/>
          <w:sz w:val="20"/>
          <w:szCs w:val="20"/>
        </w:rPr>
        <w:t xml:space="preserve">                                                                                     __________</w:t>
      </w:r>
      <w:r w:rsidR="00C3784F">
        <w:rPr>
          <w:b/>
          <w:sz w:val="20"/>
          <w:szCs w:val="20"/>
        </w:rPr>
        <w:t xml:space="preserve"> Гареев В.Ю.</w:t>
      </w:r>
      <w:bookmarkStart w:id="0" w:name="_GoBack"/>
      <w:bookmarkEnd w:id="0"/>
      <w:r>
        <w:rPr>
          <w:b/>
          <w:sz w:val="20"/>
          <w:szCs w:val="20"/>
        </w:rPr>
        <w:t xml:space="preserve">          </w:t>
      </w:r>
    </w:p>
    <w:p w:rsidR="008770FE" w:rsidRDefault="00EA1504" w:rsidP="008770FE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sz w:val="20"/>
          <w:szCs w:val="20"/>
        </w:rPr>
        <w:t xml:space="preserve">  «__»___________ 20</w:t>
      </w:r>
      <w:r w:rsidR="00556B0A">
        <w:rPr>
          <w:b/>
          <w:sz w:val="20"/>
          <w:szCs w:val="20"/>
        </w:rPr>
        <w:t>2</w:t>
      </w:r>
      <w:r w:rsidR="00C3784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                                                                                         « __»  ____________ 20</w:t>
      </w:r>
      <w:r w:rsidR="00556B0A">
        <w:rPr>
          <w:b/>
          <w:sz w:val="20"/>
          <w:szCs w:val="20"/>
        </w:rPr>
        <w:t>2</w:t>
      </w:r>
      <w:r w:rsidR="00C3784F">
        <w:rPr>
          <w:b/>
          <w:sz w:val="20"/>
          <w:szCs w:val="20"/>
        </w:rPr>
        <w:t>2</w:t>
      </w:r>
      <w:r w:rsidR="003A7DA1">
        <w:rPr>
          <w:b/>
          <w:sz w:val="20"/>
          <w:szCs w:val="20"/>
        </w:rPr>
        <w:t>г</w:t>
      </w:r>
      <w:r w:rsidR="0087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p w:rsidR="008770FE" w:rsidRDefault="008770FE" w:rsidP="008770FE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FE" w:rsidRPr="008770FE" w:rsidRDefault="008770FE" w:rsidP="008770FE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Положение </w:t>
      </w:r>
    </w:p>
    <w:p w:rsidR="00627B63" w:rsidRPr="008770FE" w:rsidRDefault="008770FE" w:rsidP="008770FE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порядке </w:t>
      </w:r>
      <w:r w:rsidR="00627B63" w:rsidRPr="0087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определения платы за выполненные работы, оказанные услуги для граждан и юридических лиц, предоставляемые государственным бюджетным учреждением здравоохранения Республики Башкортостан </w:t>
      </w:r>
      <w:proofErr w:type="spellStart"/>
      <w:r w:rsidR="00886D27" w:rsidRPr="0087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Мишкинская</w:t>
      </w:r>
      <w:proofErr w:type="spellEnd"/>
      <w:r w:rsidR="00886D27" w:rsidRPr="0087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7B63" w:rsidRPr="0087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центральная районная больница, на платной основе</w:t>
      </w: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I. Общие положения</w:t>
      </w:r>
    </w:p>
    <w:p w:rsidR="00627B63" w:rsidRPr="00627B63" w:rsidRDefault="00627B63" w:rsidP="00627B6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определения платы за выполненные работы, оказанные услуги для граждан и юридических лиц, предоставляемые государственным бюджетным учреждением здравоохранения Республики Башкортостан </w:t>
      </w:r>
      <w:proofErr w:type="spellStart"/>
      <w:r w:rsidR="00886D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Мишкинская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центральная районная больница на платной основе (далее - Порядок) разработан в соответствии с Законом Российской Федерации от 7 февраля 1992 года  № 2300-1 «О защите прав потребителей» и Бюджетным кодексом Российской Федерации.</w:t>
      </w:r>
      <w:proofErr w:type="gramEnd"/>
    </w:p>
    <w:p w:rsidR="00627B63" w:rsidRPr="00627B63" w:rsidRDefault="006F3AD7" w:rsidP="006F3AD7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 </w:t>
      </w:r>
      <w:proofErr w:type="gramStart"/>
      <w:r w:rsidR="00627B63"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применяется государственным бюджетным учреждением здравоохранения Республики Башкортостан </w:t>
      </w:r>
      <w:proofErr w:type="spellStart"/>
      <w:r w:rsidR="00886D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Мишкинская</w:t>
      </w:r>
      <w:proofErr w:type="spellEnd"/>
      <w:r w:rsidR="00627B63"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центральная районная больница, осуществляющим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на оказание услуг (выполнение работ), относящихся в соответствии с уставом учреждения к его основным видам деятельности, для физических и юридических лиц на платной основе (далее – платные услуги).</w:t>
      </w:r>
      <w:proofErr w:type="gramEnd"/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Порядок разработан в целях установления единого механизма формирования цен на платные услуги (далее - цены).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Платные услуги оказываются учреждением по ценам, целиком покрывающим издержки учреждения на оказание данных услуг. В случаях, если федеральным законом предусматривается оказание учреждением платной услуги в пределах государственного задания, в том числе для льготных категорий потребителей, такая платная услуга включается в перечень государственных услуг, по которым формируется государственное задание.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Учреждение самостоятельно определяет возможность оказания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Учреждение формирует и утверждает перечень платных услуг по согласованию с Минздравом РБ.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7. Стоимость платных услуг определяется на основе расчета экономически обоснованных затрат материальных и трудовых ресурсов (далее - затраты).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8. Учреждение, оказывающее платные услуги,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627B63" w:rsidRPr="00627B63" w:rsidRDefault="00317B7E" w:rsidP="00627B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Прейскурант</w:t>
      </w:r>
      <w:r w:rsidR="00BB332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цен</w:t>
      </w:r>
      <w:r w:rsidR="00627B63" w:rsidRPr="00627B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платные услуги, работы, оказываемые (выполняемые)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Arial" w:hAnsi="Times New Roman" w:cs="Times New Roman"/>
          <w:sz w:val="24"/>
          <w:szCs w:val="24"/>
          <w:lang w:eastAsia="ar-SA"/>
        </w:rPr>
        <w:t>(наименование государственного бюджетного учреждения)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828"/>
        <w:gridCol w:w="1592"/>
        <w:gridCol w:w="2040"/>
      </w:tblGrid>
      <w:tr w:rsidR="00BB332C" w:rsidRPr="00627B63" w:rsidTr="00BB332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Код услуг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услуги (работы)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B332C" w:rsidRPr="00627B63" w:rsidRDefault="00BB332C" w:rsidP="00BB332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услуг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2C" w:rsidRPr="00627B63" w:rsidRDefault="00BB332C" w:rsidP="00BB332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Стоимость в рублях</w:t>
            </w:r>
          </w:p>
        </w:tc>
      </w:tr>
      <w:tr w:rsidR="00BB332C" w:rsidRPr="00627B63" w:rsidTr="00BB332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32C" w:rsidRPr="00627B63" w:rsidTr="00BB332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32C" w:rsidRPr="00627B63" w:rsidTr="00BB332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32C" w:rsidRPr="00627B63" w:rsidTr="00BB332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...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C" w:rsidRPr="00627B63" w:rsidRDefault="00BB332C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Объектом расчета стоимости медицинских услуг является медицинская помощь, которая может быть представлена перечнем простых медицинских услуг (отдельные исследования, манипуляции, процедуры, оперативные вмешательства), перечнем сложных медицинских услуг (койко-дни в профильных отделениях стационаров) или перечнем комплексных медицинских услуг поликлинического и стационарного лечения.</w:t>
      </w: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платных медицинских услуг (в том числе их состав) систематизируется в соответствии с отраслевым классификатором «Простые медицинские услуги», утвержденным приказом Министерства здравоохранения Российской Федерации от 10 апреля 2001 года № 113 и отраслевым классификатором «Сложные и комплексные медицинские услуги. Состав», утвержденным приказом Министерства здравоохранения Российской Федерации от 16 июля 2001 года № 269.</w:t>
      </w: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Определение цены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государственного задания, а также с учетом положений отраслевых и ведомственных нормативных правовых </w:t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актов по определению расчетно-нормативных затрат на оказание платной услуги.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</w:t>
      </w:r>
      <w:proofErr w:type="gram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учреждения делятся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  <w:proofErr w:type="gramEnd"/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12. К затратам, непосредственно связанным с оказанием платной услуги, относятся: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персонал, непосредственно участвующий в процессе оказания платной услуги (основной персонал);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материальные запасы, полностью потребляемые в процессе оказания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(амортизация) оборудования, используемого в процессе оказания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расходы, отражающие специфику оказания платной услуги.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13. К затратам, необходимым для обеспечения деятельности учреждения в целом, но не потребляемым непосредственно в процессе оказания платной услуги (далее - накладные затраты), относятся: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персонал учреждения, не участвующего непосредственно в процессе оказания платной услуги (далее – административно-управленческий персонал);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уплату налогов (кроме налогов на фонд оплаты труда), пошлины и иные обязательные платежи;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(амортизация) зданий, сооружений и других основных фондов, непосредственно не связанных с оказанием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14. Для расчета затрат на оказание платной услуги может быть использован расчетно-аналитический метод или метод прямого счета.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15. 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на основе анализа фактических затрат учреждения в предшествующие периоды. В основе расчета затрат на оказание платной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затраты на оказание единицы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сумма всех затрат учреждения за период времени;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фонд рабочего времени основного персонала учреждения за тот же период времени;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норма рабочего времени, затрачиваемого основным персоналом на оказание платной услуги.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Зусл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Змз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Аусл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Зн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Зусл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затраты на оказание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затраты на оплату труда и начисления на выплаты по оплате труда основного персонала, непосредственно принимающего участие в оказании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Змз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затраты на приобретение материальных запасов, потребляемых в процессе оказания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Аусл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сумма начисленной амортизации оборудования, используемого при оказании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Зн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накладные затраты, относимые на стоимость платной услуги.</w:t>
      </w:r>
    </w:p>
    <w:p w:rsidR="00627B63" w:rsidRPr="00627B63" w:rsidRDefault="00627B63" w:rsidP="00627B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17. 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определяются по формуле: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proofErr w:type="spellStart"/>
      <w:proofErr w:type="gram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SUM</w:t>
      </w:r>
      <w:proofErr w:type="gram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x </w:t>
      </w: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Тусл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затраты на оплату труда и начисления на выплаты по оплате труда основного персонала;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Тусл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норма рабочего времени, затрачиваемого основным персоналом, человеко-час;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</w:t>
      </w:r>
      <w:proofErr w:type="spell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среднечасовая оплата труда сотрудников из числа основного персонала (включая начисления на выплаты по оплате труда) в рублях.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затрат на оплату труда персонала, непосредственно участвующего в процессе оказания платной услуги, приводится по форме согласно Таблице 2.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Pr="00627B63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затрат на оплату труда персонала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платной услуги)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161"/>
        <w:gridCol w:w="1756"/>
        <w:gridCol w:w="1891"/>
        <w:gridCol w:w="2080"/>
      </w:tblGrid>
      <w:tr w:rsidR="00627B63" w:rsidRPr="00627B63" w:rsidTr="00627B63">
        <w:trPr>
          <w:cantSplit/>
          <w:trHeight w:val="10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Должность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Среднемесячный фонд оплаты труда,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включая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начисления на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выплаты по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оплате труда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(руб.)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Месячный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фонд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рабочего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времени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(мин.)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Норма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времени на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оказание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платной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услуги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(мин.)  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Затраты на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оплату труда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персонала (руб.)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(5) = (2)/(3) x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(4)       </w:t>
            </w:r>
          </w:p>
        </w:tc>
      </w:tr>
      <w:tr w:rsidR="00627B63" w:rsidRPr="00627B63" w:rsidTr="00627B63">
        <w:trPr>
          <w:cantSplit/>
          <w:trHeight w:val="2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27B63" w:rsidRPr="00627B63" w:rsidTr="00627B63">
        <w:trPr>
          <w:cantSplit/>
          <w:trHeight w:val="2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...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Итого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18. Затраты на приобретение материальных запасов и услуг, полностью потребляемых в процессе оказания платной услуги, включают в себя: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медикаменты и перевязочные средства;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продукты питания;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мягкий инвентарь;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другие материальные запасы.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 Затраты на приобретение материальных запасов определяются по формуле: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B63" w:rsidRPr="00627B63" w:rsidRDefault="00627B63" w:rsidP="00627B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затраты на материальные запасы, потребляемые в процессе оказания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материальные запасы определенного вида;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цена приобретаемых материальных запасов.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затрат на материальные запасы, непосредственно потребляемые в процессе оказания платной услуги, проводится по форме согласно Таблице 3.</w:t>
      </w:r>
    </w:p>
    <w:p w:rsid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Pr="00627B63" w:rsidRDefault="006F3AD7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затрат на материальные запасы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платной услуги)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485"/>
        <w:gridCol w:w="1620"/>
        <w:gridCol w:w="1755"/>
        <w:gridCol w:w="2621"/>
      </w:tblGrid>
      <w:tr w:rsidR="00627B63" w:rsidRPr="00627B63" w:rsidTr="00627B63">
        <w:trPr>
          <w:cantSplit/>
          <w:trHeight w:val="4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материальных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запасов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Единица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Расход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(в ед.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измерения)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Цена за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единицу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затрат  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материальных запасов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(5) = (3) x (4)</w:t>
            </w: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7B63" w:rsidRPr="00627B63" w:rsidRDefault="00627B63" w:rsidP="00627B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стоимость платных услуг включаются только те медикаменты, которые фактически предоставляются пациентам, получающим данную услугу. При применении жизненно важных лекарственных средств и изделий медицинского назначения возможен расчет нескольких цен на одну и ту же услугу в зависимости от применяемых медикаментов, при этом в прейскуранте цен это должно быть отражено.</w:t>
      </w:r>
    </w:p>
    <w:p w:rsidR="00627B63" w:rsidRPr="00627B63" w:rsidRDefault="00627B63" w:rsidP="00627B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лечебное  питание больных в отделениях стационара  рассчитываются на один койко-день пребывания больного на койке, на одну процедуру гемодиализа исходя из действующих норм среднесуточного набора продуктов на одного больного, с учетом принятых в учреждении норм улучшения питания для платных больных либо организации индивидуального питания.</w:t>
      </w:r>
    </w:p>
    <w:p w:rsidR="00627B63" w:rsidRPr="00627B63" w:rsidRDefault="00627B63" w:rsidP="00627B6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по бесплатной выдачи работникам, занятым на работах с вредными условиями труда, молока или других равноценных пищевых продуктов, согласно приказу Министерства здравоохранения и социального развития Российской Федерации от 16 февраля 2009 года № 45н</w:t>
      </w:r>
      <w:r w:rsidRPr="00627B6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627B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</w:t>
      </w:r>
      <w:proofErr w:type="gramEnd"/>
      <w:r w:rsidRPr="00627B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proofErr w:type="gramStart"/>
      <w:r w:rsidRPr="00627B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</w:t>
      </w:r>
      <w:r w:rsidRPr="00627B6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627B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употребление молока или других равноценных пищевых продуктов»</w:t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могут относиться на стоимость медицинских услуг, оказываемых в отделениях с вредными  условиями  труда, путем увеличения на соответствующую сумму накладных расходов.</w:t>
      </w:r>
      <w:proofErr w:type="gramEnd"/>
    </w:p>
    <w:p w:rsidR="00627B63" w:rsidRPr="00627B63" w:rsidRDefault="00627B63" w:rsidP="00627B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19.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суммы начисленной амортизации оборудования, используемого при оказании платной услуги, приводится по форме согласно Таблице 4.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4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Arial" w:hAnsi="Times New Roman" w:cs="Times New Roman"/>
          <w:sz w:val="24"/>
          <w:szCs w:val="24"/>
          <w:lang w:eastAsia="ar-SA"/>
        </w:rPr>
        <w:t>Расчет суммы начисленной амортизации оборудования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Arial" w:hAnsi="Times New Roman" w:cs="Times New Roman"/>
          <w:sz w:val="24"/>
          <w:szCs w:val="24"/>
          <w:lang w:eastAsia="ar-SA"/>
        </w:rPr>
        <w:t>(наименование платной услуги)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620"/>
        <w:gridCol w:w="1080"/>
        <w:gridCol w:w="1647"/>
        <w:gridCol w:w="1755"/>
        <w:gridCol w:w="1662"/>
      </w:tblGrid>
      <w:tr w:rsidR="00627B63" w:rsidRPr="00627B63" w:rsidTr="00627B63">
        <w:trPr>
          <w:cantSplit/>
          <w:trHeight w:val="9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оборудования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Балансовая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стоимость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Годовая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норма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износа</w:t>
            </w:r>
            <w:proofErr w:type="gramStart"/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(%)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Годовая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норма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времени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работы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оборудования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(час.)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Время работы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оборудования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 процессе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оказания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платной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услуги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(час.)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Сумма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начисленной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амортизации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(6) = (2) x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(3) x (4)/(5)</w:t>
            </w: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...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x   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7B63" w:rsidRPr="00627B63" w:rsidRDefault="00627B63" w:rsidP="00627B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20.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47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61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161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прогноз суммы начисленной амортизации имущества общехозяйственного назначения в плановом периоде.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административно-управленческий персонал включают в себя: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нормативные затраты на командировки административно-управленческого персонала;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по повышению квалификации основного и административно-управленческого персонала.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общехозяйственного назначения включают в себя: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аренда необходима для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накладных затрат приводится по форме согласно Таблице 5.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5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накладных затрат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платной услуги)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95"/>
        <w:gridCol w:w="3978"/>
      </w:tblGrid>
      <w:tr w:rsidR="00627B63" w:rsidRPr="00627B63" w:rsidTr="00627B6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Прогноз затрат на административно-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управленческий персонал           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Прогноз затрат общехозяйственного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назначения                        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Прогноз суммы начисленной       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амортизации имущества           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общехозяйственного назначения     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Прогноз суммарного фонда оплаты 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труда основного персонала         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Коэффициент накладных затрат      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(5) = {(1) + (2) + (3)}/(4)     </w:t>
            </w:r>
          </w:p>
        </w:tc>
      </w:tr>
      <w:tr w:rsidR="00627B63" w:rsidRPr="00627B63" w:rsidTr="00627B63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Затраты на основной персонал,   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участвующий в предоставлении    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платной услуги                    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627B6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Итого накладные затраты           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(7) = (5) x (6)                 </w:t>
            </w:r>
          </w:p>
        </w:tc>
      </w:tr>
    </w:tbl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AD7" w:rsidRPr="00627B63" w:rsidRDefault="006F3AD7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7F16" w:rsidRDefault="005F7F16" w:rsidP="005F7F16">
      <w:pPr>
        <w:rPr>
          <w:sz w:val="32"/>
          <w:szCs w:val="32"/>
        </w:rPr>
      </w:pPr>
      <w:r>
        <w:rPr>
          <w:sz w:val="32"/>
          <w:szCs w:val="32"/>
        </w:rPr>
        <w:t>Формула для расчета рентабельности реализованной продукции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5F7F16" w:rsidRDefault="005F7F16" w:rsidP="005F7F16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>*100%;</w:t>
      </w:r>
    </w:p>
    <w:p w:rsidR="005F7F16" w:rsidRDefault="005F7F16" w:rsidP="005F7F16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оэффициент рентабельности продукции</w:t>
      </w:r>
    </w:p>
    <w:p w:rsidR="005F7F16" w:rsidRDefault="005F7F16" w:rsidP="005F7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значение прибыли от реализации продукции ;</w:t>
      </w:r>
    </w:p>
    <w:p w:rsidR="005F7F16" w:rsidRDefault="005F7F16" w:rsidP="005F7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себестоимость продукции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B63">
        <w:rPr>
          <w:rFonts w:ascii="Times New Roman" w:eastAsia="Times New Roman" w:hAnsi="Times New Roman" w:cs="Times New Roman"/>
          <w:sz w:val="28"/>
          <w:szCs w:val="28"/>
          <w:lang w:eastAsia="ar-SA"/>
        </w:rPr>
        <w:t>20. Расчет цены приводится по форме согласно Таблице 6.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6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цены на оказание платной услуги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6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платной услуги)</w:t>
      </w:r>
    </w:p>
    <w:p w:rsidR="00627B63" w:rsidRPr="00627B63" w:rsidRDefault="00627B63" w:rsidP="00627B6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838"/>
        <w:gridCol w:w="2040"/>
      </w:tblGrid>
      <w:tr w:rsidR="00627B63" w:rsidRPr="00627B63" w:rsidTr="005F7F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статей затрат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Сумма (руб.)</w:t>
            </w:r>
          </w:p>
        </w:tc>
      </w:tr>
      <w:tr w:rsidR="00627B63" w:rsidRPr="00627B63" w:rsidTr="005F7F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Затраты на оплату труда основного персонала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5F7F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Затраты материальных запасов  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5F7F16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Сумма начисленной амортизации оборудования,          </w:t>
            </w: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используемого при оказании платной услуги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5F7F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Накладные затраты, относимые на платную услугу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F16" w:rsidRPr="00627B63" w:rsidTr="005F7F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F16" w:rsidRPr="00627B63" w:rsidRDefault="005F7F16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F16" w:rsidRPr="00627B63" w:rsidRDefault="005F7F16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Рентабельность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6" w:rsidRPr="00627B63" w:rsidRDefault="005F7F16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5F7F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5F7F16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627B63"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Итого затрат                  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7B63" w:rsidRPr="00627B63" w:rsidTr="005F7F1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5F7F16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="00627B63"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27B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Цена на платную услугу        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Pr="00627B63" w:rsidRDefault="00627B63" w:rsidP="00627B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B63" w:rsidRPr="00627B63" w:rsidRDefault="00627B63" w:rsidP="0062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329F" w:rsidRDefault="008F329F"/>
    <w:sectPr w:rsidR="008F329F" w:rsidSect="003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9FD"/>
    <w:rsid w:val="001A39FD"/>
    <w:rsid w:val="001F1E93"/>
    <w:rsid w:val="00201235"/>
    <w:rsid w:val="002D1678"/>
    <w:rsid w:val="00317B7E"/>
    <w:rsid w:val="003A7DA1"/>
    <w:rsid w:val="003D187C"/>
    <w:rsid w:val="003E5730"/>
    <w:rsid w:val="00492ACE"/>
    <w:rsid w:val="004946E8"/>
    <w:rsid w:val="00511F60"/>
    <w:rsid w:val="005330A4"/>
    <w:rsid w:val="00556B0A"/>
    <w:rsid w:val="005A0138"/>
    <w:rsid w:val="005F7F16"/>
    <w:rsid w:val="00627B63"/>
    <w:rsid w:val="006F3AD7"/>
    <w:rsid w:val="00720481"/>
    <w:rsid w:val="008770FE"/>
    <w:rsid w:val="00886D27"/>
    <w:rsid w:val="008B28DB"/>
    <w:rsid w:val="008D2CFD"/>
    <w:rsid w:val="008F329F"/>
    <w:rsid w:val="009F36F7"/>
    <w:rsid w:val="00BB332C"/>
    <w:rsid w:val="00C0753A"/>
    <w:rsid w:val="00C3784F"/>
    <w:rsid w:val="00D8430F"/>
    <w:rsid w:val="00DA47CB"/>
    <w:rsid w:val="00DD320B"/>
    <w:rsid w:val="00E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2018-11-13T07:03:00Z</cp:lastPrinted>
  <dcterms:created xsi:type="dcterms:W3CDTF">2015-08-24T07:25:00Z</dcterms:created>
  <dcterms:modified xsi:type="dcterms:W3CDTF">2021-11-16T05:10:00Z</dcterms:modified>
</cp:coreProperties>
</file>